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</w:t>
      </w:r>
    </w:p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287186" w:rsidRPr="003E6238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«Гумбетовский район»                                                                                                                    от «</w:t>
      </w:r>
      <w:r w:rsidR="00F1177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F117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F11776">
        <w:rPr>
          <w:rFonts w:ascii="Times New Roman" w:hAnsi="Times New Roman" w:cs="Times New Roman"/>
          <w:b/>
          <w:sz w:val="24"/>
          <w:szCs w:val="24"/>
          <w:lang w:val="ru-RU"/>
        </w:rPr>
        <w:t>180</w:t>
      </w:r>
    </w:p>
    <w:p w:rsidR="00287186" w:rsidRPr="003E6238" w:rsidRDefault="00287186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EE24F8">
        <w:rPr>
          <w:rFonts w:ascii="Georgia" w:hAnsi="Georgia" w:cs="Times New Roman"/>
          <w:b/>
          <w:bCs/>
          <w:sz w:val="32"/>
          <w:szCs w:val="32"/>
          <w:lang w:val="ru-RU"/>
        </w:rPr>
        <w:t>Цилитлинская</w:t>
      </w:r>
      <w:proofErr w:type="spellEnd"/>
      <w:r w:rsidR="00E63F69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4D67A1" w:rsidRDefault="004D67A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spellStart"/>
      <w:r w:rsidR="00EE24F8">
        <w:rPr>
          <w:rFonts w:ascii="Times New Roman" w:hAnsi="Times New Roman" w:cs="Times New Roman"/>
          <w:sz w:val="28"/>
          <w:lang w:val="ru-RU"/>
        </w:rPr>
        <w:t>Цилитль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312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EE24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Цилитлинская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EE24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Цилитлинская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EE24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Цилитлинская</w:t>
      </w:r>
      <w:proofErr w:type="spellEnd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proofErr w:type="spellStart"/>
      <w:r w:rsidR="00EE24F8">
        <w:rPr>
          <w:rFonts w:ascii="Times New Roman" w:hAnsi="Times New Roman" w:cs="Times New Roman"/>
          <w:sz w:val="28"/>
          <w:szCs w:val="28"/>
          <w:lang w:val="ru-RU"/>
        </w:rPr>
        <w:t>Цилитль</w:t>
      </w:r>
      <w:proofErr w:type="spellEnd"/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EE24F8"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="00EE24F8">
        <w:rPr>
          <w:rFonts w:ascii="Times New Roman" w:hAnsi="Times New Roman" w:cs="Times New Roman"/>
          <w:sz w:val="28"/>
          <w:szCs w:val="28"/>
          <w:lang w:val="ru-RU"/>
        </w:rPr>
        <w:t>37.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D21F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>, в 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находящимися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его распоряжении денежных средств. Субсидиарную ответственность по обязательствам Образовательного учреждения несет собственник имущества, закрепленного за Образовательным учреждением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ее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1B12E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доходы  деятельность, в том числе оказывать платные образовательные услуги по дополнительным </w:t>
      </w:r>
      <w:proofErr w:type="spell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287186" w:rsidRDefault="008522C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proofErr w:type="gramStart"/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034AE1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ее интересы во всех организациях, государственных и муниципальных органах, судах;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DF4F91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утверждает штатное расписание, учебный план, годовой план работы, график работы, расписание занятий, график контрольных работ, расписание экзаменов;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обучающихся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обеспечивать выполнение государственного задания в полном объеме;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иные обязанности, установленные нормативными правовыми актами, в том числе законодательными,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 и МР 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возглавляемом Образовательном учреждении</w:t>
      </w:r>
      <w:proofErr w:type="gramStart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63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обязательную аттестацию.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муниципальным органом  управления образованием.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невыполнение государственного задания. 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7186" w:rsidRDefault="00287186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5642D3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46903" w:rsidRDefault="0054690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отвечает по своим обязательствам находящимися в его распоряжении денежными средствами.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установленном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4.8.1.2 долевое участие в деятельности других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образовательных) и организаций.</w:t>
      </w:r>
    </w:p>
    <w:p w:rsidR="00287186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деятельности, предусмотренной настоящим уставом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могут противоречить настоящему Уставу и действующему законодательству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087B0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087B0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 ПОРЯДОК ВНЕСЕН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312AD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953FAC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proofErr w:type="spellStart"/>
      <w:r w:rsidR="00EE24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Цилитлинская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E24F8">
        <w:rPr>
          <w:rFonts w:ascii="Times New Roman" w:hAnsi="Times New Roman" w:cs="Times New Roman"/>
          <w:sz w:val="28"/>
          <w:szCs w:val="28"/>
          <w:lang w:val="ru-RU"/>
        </w:rPr>
        <w:t>16.12.2015 г.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EE24F8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p w:rsidR="00953FAC" w:rsidRPr="00953FAC" w:rsidRDefault="00953FAC" w:rsidP="004D67A1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53FAC" w:rsidRPr="00953FAC" w:rsidSect="008312AD">
          <w:pgSz w:w="11899" w:h="16836"/>
          <w:pgMar w:top="1134" w:right="851" w:bottom="1134" w:left="1701" w:header="720" w:footer="720" w:gutter="0"/>
          <w:cols w:space="720"/>
        </w:sectPr>
      </w:pP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E" w:rsidRDefault="0004340E" w:rsidP="002920F9">
      <w:pPr>
        <w:spacing w:after="0" w:line="240" w:lineRule="auto"/>
      </w:pPr>
      <w:r>
        <w:separator/>
      </w:r>
    </w:p>
  </w:endnote>
  <w:endnote w:type="continuationSeparator" w:id="0">
    <w:p w:rsidR="0004340E" w:rsidRDefault="0004340E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831EA4">
        <w:pPr>
          <w:pStyle w:val="a6"/>
          <w:jc w:val="center"/>
        </w:pPr>
        <w:fldSimple w:instr=" PAGE   \* MERGEFORMAT ">
          <w:r w:rsidR="00F11776">
            <w:rPr>
              <w:noProof/>
            </w:rPr>
            <w:t>1</w:t>
          </w:r>
        </w:fldSimple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E" w:rsidRDefault="0004340E" w:rsidP="002920F9">
      <w:pPr>
        <w:spacing w:after="0" w:line="240" w:lineRule="auto"/>
      </w:pPr>
      <w:r>
        <w:separator/>
      </w:r>
    </w:p>
  </w:footnote>
  <w:footnote w:type="continuationSeparator" w:id="0">
    <w:p w:rsidR="0004340E" w:rsidRDefault="0004340E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31D4C"/>
    <w:rsid w:val="00034AE1"/>
    <w:rsid w:val="0004340E"/>
    <w:rsid w:val="00086432"/>
    <w:rsid w:val="00087B0A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3560"/>
    <w:rsid w:val="00160593"/>
    <w:rsid w:val="00175A21"/>
    <w:rsid w:val="001A6607"/>
    <w:rsid w:val="001B12ED"/>
    <w:rsid w:val="001D6B38"/>
    <w:rsid w:val="00220D59"/>
    <w:rsid w:val="0025441B"/>
    <w:rsid w:val="00287186"/>
    <w:rsid w:val="002920F9"/>
    <w:rsid w:val="002A3932"/>
    <w:rsid w:val="002D7200"/>
    <w:rsid w:val="00315B02"/>
    <w:rsid w:val="00316885"/>
    <w:rsid w:val="00350350"/>
    <w:rsid w:val="00353688"/>
    <w:rsid w:val="00361835"/>
    <w:rsid w:val="00382C4D"/>
    <w:rsid w:val="00387703"/>
    <w:rsid w:val="003A4727"/>
    <w:rsid w:val="003D1F88"/>
    <w:rsid w:val="003E23CC"/>
    <w:rsid w:val="003E6238"/>
    <w:rsid w:val="00406FD0"/>
    <w:rsid w:val="00407C4E"/>
    <w:rsid w:val="00431310"/>
    <w:rsid w:val="00442404"/>
    <w:rsid w:val="00444710"/>
    <w:rsid w:val="004615D3"/>
    <w:rsid w:val="004779AE"/>
    <w:rsid w:val="00480E94"/>
    <w:rsid w:val="004D67A1"/>
    <w:rsid w:val="004D6EF8"/>
    <w:rsid w:val="00530262"/>
    <w:rsid w:val="005337F4"/>
    <w:rsid w:val="00546903"/>
    <w:rsid w:val="005642D3"/>
    <w:rsid w:val="005832EE"/>
    <w:rsid w:val="005A296B"/>
    <w:rsid w:val="005B225D"/>
    <w:rsid w:val="00602033"/>
    <w:rsid w:val="00635139"/>
    <w:rsid w:val="00644C27"/>
    <w:rsid w:val="00654843"/>
    <w:rsid w:val="006817CA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31EA4"/>
    <w:rsid w:val="00850704"/>
    <w:rsid w:val="008521B9"/>
    <w:rsid w:val="008522C8"/>
    <w:rsid w:val="00892BB3"/>
    <w:rsid w:val="00903871"/>
    <w:rsid w:val="0091143B"/>
    <w:rsid w:val="00932148"/>
    <w:rsid w:val="00953FAC"/>
    <w:rsid w:val="009703B6"/>
    <w:rsid w:val="009712C4"/>
    <w:rsid w:val="009A45CC"/>
    <w:rsid w:val="009C0554"/>
    <w:rsid w:val="00A1522D"/>
    <w:rsid w:val="00A269C1"/>
    <w:rsid w:val="00A63847"/>
    <w:rsid w:val="00A76A64"/>
    <w:rsid w:val="00AA5E57"/>
    <w:rsid w:val="00AB0DB7"/>
    <w:rsid w:val="00B018FB"/>
    <w:rsid w:val="00BF6309"/>
    <w:rsid w:val="00C000E3"/>
    <w:rsid w:val="00C25F78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21F56"/>
    <w:rsid w:val="00D45ABE"/>
    <w:rsid w:val="00DD33C9"/>
    <w:rsid w:val="00DF4F91"/>
    <w:rsid w:val="00DF7640"/>
    <w:rsid w:val="00E3150B"/>
    <w:rsid w:val="00E63F69"/>
    <w:rsid w:val="00E91AC9"/>
    <w:rsid w:val="00EE24F8"/>
    <w:rsid w:val="00EF0DF0"/>
    <w:rsid w:val="00F0293B"/>
    <w:rsid w:val="00F04EB1"/>
    <w:rsid w:val="00F11776"/>
    <w:rsid w:val="00F73C7F"/>
    <w:rsid w:val="00F817C4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2018-12-20T05:59:00Z</cp:lastPrinted>
  <dcterms:created xsi:type="dcterms:W3CDTF">2018-12-20T06:00:00Z</dcterms:created>
  <dcterms:modified xsi:type="dcterms:W3CDTF">2018-12-27T12:16:00Z</dcterms:modified>
</cp:coreProperties>
</file>